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2122"/>
        <w:gridCol w:w="11872"/>
      </w:tblGrid>
      <w:tr w:rsidR="00D97814" w14:paraId="2E865280" w14:textId="77777777" w:rsidTr="00D97814">
        <w:tc>
          <w:tcPr>
            <w:tcW w:w="2122" w:type="dxa"/>
            <w:shd w:val="clear" w:color="auto" w:fill="D9E2F3" w:themeFill="accent1" w:themeFillTint="33"/>
          </w:tcPr>
          <w:p w14:paraId="692F8677" w14:textId="3682B2A6" w:rsidR="00D97814" w:rsidRPr="00D97814" w:rsidRDefault="00D97814">
            <w:pPr>
              <w:rPr>
                <w:b/>
                <w:bCs/>
              </w:rPr>
            </w:pPr>
            <w:r w:rsidRPr="00D97814">
              <w:rPr>
                <w:b/>
                <w:bCs/>
              </w:rPr>
              <w:t>ALV</w:t>
            </w:r>
          </w:p>
        </w:tc>
        <w:tc>
          <w:tcPr>
            <w:tcW w:w="11872" w:type="dxa"/>
            <w:shd w:val="clear" w:color="auto" w:fill="D9E2F3" w:themeFill="accent1" w:themeFillTint="33"/>
          </w:tcPr>
          <w:p w14:paraId="5F467F16" w14:textId="3DCFE9BF" w:rsidR="00D97814" w:rsidRPr="00D97814" w:rsidRDefault="00D97814">
            <w:pPr>
              <w:rPr>
                <w:b/>
                <w:bCs/>
              </w:rPr>
            </w:pPr>
            <w:r w:rsidRPr="00D97814">
              <w:rPr>
                <w:b/>
                <w:bCs/>
              </w:rPr>
              <w:t>Besluit</w:t>
            </w:r>
          </w:p>
        </w:tc>
      </w:tr>
      <w:tr w:rsidR="00D97814" w14:paraId="54B67A11" w14:textId="77777777" w:rsidTr="00D97814">
        <w:tc>
          <w:tcPr>
            <w:tcW w:w="2122" w:type="dxa"/>
          </w:tcPr>
          <w:p w14:paraId="7217B45D" w14:textId="7471058C" w:rsidR="00D97814" w:rsidRDefault="001F059F">
            <w:r>
              <w:t>25-11-2019</w:t>
            </w:r>
          </w:p>
        </w:tc>
        <w:tc>
          <w:tcPr>
            <w:tcW w:w="11872" w:type="dxa"/>
          </w:tcPr>
          <w:p w14:paraId="520A1CA9" w14:textId="0911F69C" w:rsidR="001F059F" w:rsidRDefault="001F059F">
            <w:r>
              <w:t>Instemming met werkwijze, deels in uitbreiding op artikel 17 statuten</w:t>
            </w:r>
            <w:r w:rsidR="00770252">
              <w:t>:</w:t>
            </w:r>
          </w:p>
          <w:p w14:paraId="6732A4FC" w14:textId="27D795ED" w:rsidR="001F059F" w:rsidRDefault="001F059F" w:rsidP="001F059F">
            <w:pPr>
              <w:pStyle w:val="Lijstalinea"/>
              <w:numPr>
                <w:ilvl w:val="0"/>
                <w:numId w:val="1"/>
              </w:numPr>
            </w:pPr>
            <w:r>
              <w:t xml:space="preserve">Ter kennisname voorleggen begrotingen aan ALV </w:t>
            </w:r>
          </w:p>
          <w:p w14:paraId="480A98F6" w14:textId="45C44FA3" w:rsidR="001F059F" w:rsidRDefault="001F059F" w:rsidP="001F059F">
            <w:pPr>
              <w:pStyle w:val="Lijstalinea"/>
              <w:numPr>
                <w:ilvl w:val="0"/>
                <w:numId w:val="1"/>
              </w:numPr>
            </w:pPr>
            <w:r>
              <w:t xml:space="preserve">Bestuur gaat geen verplichtingen aan boven beschikbaar budget en houdt daarbij ook rekening met de kaspositie. </w:t>
            </w:r>
          </w:p>
          <w:p w14:paraId="126F5903" w14:textId="247C5513" w:rsidR="00D97814" w:rsidRDefault="001F059F" w:rsidP="001F059F">
            <w:pPr>
              <w:pStyle w:val="Lijstalinea"/>
              <w:numPr>
                <w:ilvl w:val="0"/>
                <w:numId w:val="1"/>
              </w:numPr>
            </w:pPr>
            <w:r>
              <w:t>Er wordt pas opdracht gegeven aan leveranciers van installaties als minimaal 80% van de investeringen door leden van die installatie op de rekening staat.</w:t>
            </w:r>
          </w:p>
        </w:tc>
      </w:tr>
      <w:tr w:rsidR="00D97814" w14:paraId="70D3A973" w14:textId="77777777" w:rsidTr="00D97814">
        <w:tc>
          <w:tcPr>
            <w:tcW w:w="2122" w:type="dxa"/>
          </w:tcPr>
          <w:p w14:paraId="7775BDEE" w14:textId="5D876983" w:rsidR="00D97814" w:rsidRDefault="00015433">
            <w:r>
              <w:t>22-06-2021</w:t>
            </w:r>
          </w:p>
        </w:tc>
        <w:tc>
          <w:tcPr>
            <w:tcW w:w="11872" w:type="dxa"/>
          </w:tcPr>
          <w:p w14:paraId="1190DE03" w14:textId="656EB5E4" w:rsidR="00811A99" w:rsidRPr="00811A99" w:rsidRDefault="00811A99" w:rsidP="00811A99">
            <w:r w:rsidRPr="00811A99">
              <w:t>Goedkeuring evenredige verdeling kosten</w:t>
            </w:r>
            <w:r>
              <w:t>:</w:t>
            </w:r>
          </w:p>
          <w:p w14:paraId="7B0458E8" w14:textId="0D28613D" w:rsidR="00D97814" w:rsidRDefault="00811A99" w:rsidP="00015433">
            <w:pPr>
              <w:pStyle w:val="Lijstalinea"/>
              <w:numPr>
                <w:ilvl w:val="0"/>
                <w:numId w:val="2"/>
              </w:numPr>
            </w:pPr>
            <w:r>
              <w:t>De ALV stemt in met evenredige verdeling van kosten voor verzekering, beheer en inspectie over de installaties</w:t>
            </w:r>
            <w:r w:rsidRPr="009F5B01">
              <w:t>.</w:t>
            </w:r>
          </w:p>
        </w:tc>
      </w:tr>
      <w:tr w:rsidR="00D97814" w14:paraId="48568048" w14:textId="77777777" w:rsidTr="00D97814">
        <w:tc>
          <w:tcPr>
            <w:tcW w:w="2122" w:type="dxa"/>
          </w:tcPr>
          <w:p w14:paraId="031893A5" w14:textId="041008FF" w:rsidR="00D97814" w:rsidRDefault="00015433">
            <w:r>
              <w:t>22-06-2021</w:t>
            </w:r>
          </w:p>
        </w:tc>
        <w:tc>
          <w:tcPr>
            <w:tcW w:w="11872" w:type="dxa"/>
          </w:tcPr>
          <w:p w14:paraId="7D915282" w14:textId="0D2AC7CF" w:rsidR="00015433" w:rsidRPr="00015433" w:rsidRDefault="00015433" w:rsidP="00015433">
            <w:r w:rsidRPr="00015433">
              <w:t>Goedkeuring kosten overdracht 50 Euro</w:t>
            </w:r>
            <w:r>
              <w:t>:</w:t>
            </w:r>
          </w:p>
          <w:p w14:paraId="60E4E5F3" w14:textId="61271755" w:rsidR="00D97814" w:rsidRDefault="00015433" w:rsidP="00015433">
            <w:pPr>
              <w:pStyle w:val="Lijstalinea"/>
              <w:numPr>
                <w:ilvl w:val="0"/>
                <w:numId w:val="2"/>
              </w:numPr>
            </w:pPr>
            <w:r w:rsidRPr="009F5B01">
              <w:t xml:space="preserve">De ALV stemt er mee in dat </w:t>
            </w:r>
            <w:r>
              <w:t>de kosten van 50 Euro voor de overdracht van de stroomdelen in rekening worden gebracht bij de verkoper.</w:t>
            </w:r>
          </w:p>
        </w:tc>
      </w:tr>
      <w:tr w:rsidR="00D97814" w14:paraId="64F29FD4" w14:textId="77777777" w:rsidTr="00D97814">
        <w:tc>
          <w:tcPr>
            <w:tcW w:w="2122" w:type="dxa"/>
          </w:tcPr>
          <w:p w14:paraId="3984354E" w14:textId="38702C9C" w:rsidR="00D97814" w:rsidRDefault="000D5695">
            <w:r>
              <w:t>22-06-2022</w:t>
            </w:r>
          </w:p>
        </w:tc>
        <w:tc>
          <w:tcPr>
            <w:tcW w:w="11872" w:type="dxa"/>
          </w:tcPr>
          <w:p w14:paraId="7CC53AE0" w14:textId="7F26D27D" w:rsidR="00B17930" w:rsidRDefault="00B17930" w:rsidP="00B17930">
            <w:pPr>
              <w:rPr>
                <w:rFonts w:ascii="Calibri" w:eastAsia="Calibri" w:hAnsi="Calibri" w:cs="Times New Roman"/>
              </w:rPr>
            </w:pPr>
            <w:r>
              <w:rPr>
                <w:rFonts w:ascii="Calibri" w:eastAsia="Calibri" w:hAnsi="Calibri" w:cs="Times New Roman"/>
              </w:rPr>
              <w:t xml:space="preserve">Verrekening </w:t>
            </w:r>
            <w:r w:rsidRPr="00494B55">
              <w:rPr>
                <w:rFonts w:ascii="Calibri" w:eastAsia="Calibri" w:hAnsi="Calibri" w:cs="Times New Roman"/>
              </w:rPr>
              <w:t xml:space="preserve">vergoeding voor de administratiekosten </w:t>
            </w:r>
            <w:r>
              <w:rPr>
                <w:rFonts w:ascii="Calibri" w:eastAsia="Calibri" w:hAnsi="Calibri" w:cs="Times New Roman"/>
              </w:rPr>
              <w:t xml:space="preserve">voor de teruggave van de energiebelasting </w:t>
            </w:r>
            <w:r w:rsidRPr="00494B55">
              <w:rPr>
                <w:rFonts w:ascii="Calibri" w:eastAsia="Calibri" w:hAnsi="Calibri" w:cs="Times New Roman"/>
              </w:rPr>
              <w:t>(ook wel marge vergoeding)</w:t>
            </w:r>
            <w:r>
              <w:rPr>
                <w:rFonts w:ascii="Calibri" w:eastAsia="Calibri" w:hAnsi="Calibri" w:cs="Times New Roman"/>
              </w:rPr>
              <w:t xml:space="preserve">  door Greenchoice:</w:t>
            </w:r>
          </w:p>
          <w:p w14:paraId="1FFDC170" w14:textId="0F65FBA6" w:rsidR="00D97814" w:rsidRDefault="00B17930" w:rsidP="00B17930">
            <w:r>
              <w:rPr>
                <w:rFonts w:ascii="Calibri" w:eastAsia="Calibri" w:hAnsi="Calibri" w:cs="Times New Roman"/>
              </w:rPr>
              <w:t>De ALV stemt</w:t>
            </w:r>
            <w:r w:rsidRPr="00494B55">
              <w:rPr>
                <w:rFonts w:ascii="Calibri" w:eastAsia="Calibri" w:hAnsi="Calibri" w:cs="Times New Roman"/>
              </w:rPr>
              <w:t xml:space="preserve"> er mee in</w:t>
            </w:r>
            <w:r>
              <w:rPr>
                <w:rFonts w:ascii="Calibri" w:eastAsia="Calibri" w:hAnsi="Calibri" w:cs="Times New Roman"/>
                <w:u w:val="single"/>
              </w:rPr>
              <w:t xml:space="preserve"> </w:t>
            </w:r>
            <w:r w:rsidRPr="00494B55">
              <w:rPr>
                <w:rFonts w:ascii="Calibri" w:eastAsia="Calibri" w:hAnsi="Calibri" w:cs="Times New Roman"/>
              </w:rPr>
              <w:t>dat de Greenchoice vergoeding direct wordt verrekend met de rechthebbende leden, en dat de administratieve kosten voor de overige leden niet in rekening worden gebracht.</w:t>
            </w:r>
          </w:p>
        </w:tc>
      </w:tr>
      <w:tr w:rsidR="00D97814" w14:paraId="31B8EB78" w14:textId="77777777" w:rsidTr="00D97814">
        <w:tc>
          <w:tcPr>
            <w:tcW w:w="2122" w:type="dxa"/>
          </w:tcPr>
          <w:p w14:paraId="4AEA866B" w14:textId="0F65D8BC" w:rsidR="00D97814" w:rsidRDefault="000D5695">
            <w:r>
              <w:t>22-06-2022</w:t>
            </w:r>
          </w:p>
        </w:tc>
        <w:tc>
          <w:tcPr>
            <w:tcW w:w="11872" w:type="dxa"/>
          </w:tcPr>
          <w:p w14:paraId="635C924F" w14:textId="77777777" w:rsidR="00B17930" w:rsidRPr="00494B55" w:rsidRDefault="00B17930" w:rsidP="00B17930">
            <w:pPr>
              <w:rPr>
                <w:rFonts w:ascii="Calibri" w:eastAsia="Calibri" w:hAnsi="Calibri" w:cs="Times New Roman"/>
              </w:rPr>
            </w:pPr>
            <w:r w:rsidRPr="00494B55">
              <w:rPr>
                <w:rFonts w:ascii="Calibri" w:eastAsia="Calibri" w:hAnsi="Calibri" w:cs="Times New Roman"/>
              </w:rPr>
              <w:t>De ALV stemt ermee in dat de netto kosten van de scope 12 inspecties (na aftrek van verkregen subsidies) evenredig worden verdeeld.</w:t>
            </w:r>
          </w:p>
          <w:p w14:paraId="7165D057" w14:textId="00FA3D22" w:rsidR="00B17930" w:rsidRPr="00494B55" w:rsidRDefault="00B17930" w:rsidP="00B17930">
            <w:pPr>
              <w:rPr>
                <w:rFonts w:ascii="Calibri" w:eastAsia="Calibri" w:hAnsi="Calibri" w:cs="Times New Roman"/>
              </w:rPr>
            </w:pPr>
            <w:r>
              <w:rPr>
                <w:rFonts w:ascii="Calibri" w:eastAsia="Calibri" w:hAnsi="Calibri" w:cs="Times New Roman"/>
              </w:rPr>
              <w:t>Toelichting:</w:t>
            </w:r>
          </w:p>
          <w:p w14:paraId="69F697A2" w14:textId="77777777" w:rsidR="00B17930" w:rsidRPr="00494B55" w:rsidRDefault="00B17930" w:rsidP="00B17930">
            <w:pPr>
              <w:rPr>
                <w:rFonts w:ascii="Calibri" w:eastAsia="Calibri" w:hAnsi="Calibri" w:cs="Times New Roman"/>
              </w:rPr>
            </w:pPr>
            <w:r w:rsidRPr="00494B55">
              <w:rPr>
                <w:rFonts w:ascii="Calibri" w:eastAsia="Calibri" w:hAnsi="Calibri" w:cs="Times New Roman"/>
              </w:rPr>
              <w:t>Verzekeringsmaatschappijen verplichten gebouweigenaren om iedere 5 jaar een Scope 12 inspectie te laten uitvoeren. Dit is een officiële keuring die zich richt op de veiligheid en het risico op brand.</w:t>
            </w:r>
          </w:p>
          <w:p w14:paraId="2233A11F" w14:textId="12849ED1" w:rsidR="00D97814" w:rsidRDefault="00B17930" w:rsidP="00B17930">
            <w:r>
              <w:rPr>
                <w:rFonts w:ascii="Calibri" w:eastAsia="Calibri" w:hAnsi="Calibri" w:cs="Times New Roman"/>
              </w:rPr>
              <w:t>Voorgesteld wordt</w:t>
            </w:r>
            <w:r w:rsidRPr="00494B55">
              <w:rPr>
                <w:rFonts w:ascii="Calibri" w:eastAsia="Calibri" w:hAnsi="Calibri" w:cs="Times New Roman"/>
              </w:rPr>
              <w:t xml:space="preserve"> dat de netto kosten van de inspecties evenredig worden verdeeld over alle installaties. De kosten worden toegerekend per stroomdeel. Er wordt dus per stroomdeel voor alle installaties hetzelfde betaald voor de Scope12 inspecties. Dus als er nu een installatie wordt gekeurd betalen alle leden daar aan mee. Iedere installatie komt een keer aan de beurt.</w:t>
            </w:r>
          </w:p>
        </w:tc>
      </w:tr>
      <w:tr w:rsidR="009810D2" w14:paraId="232EF552" w14:textId="77777777" w:rsidTr="00D97814">
        <w:tc>
          <w:tcPr>
            <w:tcW w:w="2122" w:type="dxa"/>
          </w:tcPr>
          <w:p w14:paraId="1B5F9E7F" w14:textId="10A445A6" w:rsidR="009810D2" w:rsidRDefault="009810D2">
            <w:r>
              <w:t>14-12-2022</w:t>
            </w:r>
          </w:p>
        </w:tc>
        <w:tc>
          <w:tcPr>
            <w:tcW w:w="11872" w:type="dxa"/>
          </w:tcPr>
          <w:p w14:paraId="5CE4F178" w14:textId="77777777" w:rsidR="009810D2" w:rsidRDefault="009810D2" w:rsidP="00B17930">
            <w:r w:rsidRPr="00FE6BB6">
              <w:t>De ALV stemt ermee in dat de nieuwe leveringscontracten met Greenchoice worden gebaseerd op variabele marktprijzen.</w:t>
            </w:r>
          </w:p>
          <w:p w14:paraId="3E5021D6" w14:textId="53FDBBF9" w:rsidR="009810D2" w:rsidRPr="00494B55" w:rsidRDefault="009810D2" w:rsidP="00B17930">
            <w:pPr>
              <w:rPr>
                <w:rFonts w:ascii="Calibri" w:eastAsia="Calibri" w:hAnsi="Calibri" w:cs="Times New Roman"/>
              </w:rPr>
            </w:pPr>
            <w:r>
              <w:t xml:space="preserve">Toelichting: tot nu toe is het tarief van de opgewekte stroom aan Greenchoice gebaseerd op de consumentenprijzen. Greenchoice gaat (net zoals andere energieleveranciers) over op vergoeding op basis van variabele marktprijzen (EPEX). </w:t>
            </w:r>
          </w:p>
        </w:tc>
      </w:tr>
    </w:tbl>
    <w:p w14:paraId="4CD72E92" w14:textId="77777777" w:rsidR="009810D2" w:rsidRDefault="009810D2"/>
    <w:sectPr w:rsidR="009810D2" w:rsidSect="00D9781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68D2"/>
    <w:multiLevelType w:val="hybridMultilevel"/>
    <w:tmpl w:val="316C69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73751FDA"/>
    <w:multiLevelType w:val="hybridMultilevel"/>
    <w:tmpl w:val="F26E06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356274422">
    <w:abstractNumId w:val="0"/>
  </w:num>
  <w:num w:numId="2" w16cid:durableId="1214269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814"/>
    <w:rsid w:val="00015433"/>
    <w:rsid w:val="00042A85"/>
    <w:rsid w:val="000D5695"/>
    <w:rsid w:val="001F059F"/>
    <w:rsid w:val="0058798F"/>
    <w:rsid w:val="00770252"/>
    <w:rsid w:val="00811A99"/>
    <w:rsid w:val="009521FF"/>
    <w:rsid w:val="009810D2"/>
    <w:rsid w:val="00B17930"/>
    <w:rsid w:val="00D978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E32F"/>
  <w15:chartTrackingRefBased/>
  <w15:docId w15:val="{2C7C29A3-AEA4-4FD0-BFE6-357038D2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97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F0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337</Words>
  <Characters>1857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Gastkemper</dc:creator>
  <cp:keywords/>
  <dc:description/>
  <cp:lastModifiedBy>Jan Gastkemper</cp:lastModifiedBy>
  <cp:revision>10</cp:revision>
  <dcterms:created xsi:type="dcterms:W3CDTF">2022-12-23T11:46:00Z</dcterms:created>
  <dcterms:modified xsi:type="dcterms:W3CDTF">2022-12-23T14:01:00Z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70c4d6e4-c59d-4ea5-92e2-89316ccf785e</vt:lpwstr>
  </property>
</Properties>
</file>